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1A3" w:rsidRPr="004B6D72" w:rsidRDefault="006A69F1" w:rsidP="006A69F1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24"/>
        </w:rPr>
      </w:pPr>
      <w:r w:rsidRPr="004B6D72">
        <w:rPr>
          <w:rFonts w:ascii="Times New Roman" w:hAnsi="Times New Roman" w:cs="Times New Roman"/>
          <w:b/>
          <w:sz w:val="30"/>
          <w:szCs w:val="24"/>
        </w:rPr>
        <w:t>QUY TRÌNH TÁI TỤC</w:t>
      </w:r>
    </w:p>
    <w:p w:rsidR="00DF1E6D" w:rsidRPr="004B6D72" w:rsidRDefault="00DF1E6D" w:rsidP="00DF1E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5005" w:rsidRPr="004B6D72" w:rsidRDefault="00EB5005" w:rsidP="00DF1E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6D72">
        <w:rPr>
          <w:rFonts w:ascii="Times New Roman" w:hAnsi="Times New Roman" w:cs="Times New Roman"/>
          <w:b/>
          <w:sz w:val="24"/>
          <w:szCs w:val="24"/>
        </w:rPr>
        <w:t>Bước 1: Thông báo tái tục</w:t>
      </w:r>
    </w:p>
    <w:p w:rsidR="007C60E2" w:rsidRPr="004B6D72" w:rsidRDefault="007C60E2" w:rsidP="0036671E">
      <w:pPr>
        <w:pStyle w:val="ListParagraph"/>
        <w:numPr>
          <w:ilvl w:val="0"/>
          <w:numId w:val="8"/>
        </w:numPr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Danh sách hợp đồng đến hạn tái tục sẽ được phần mềm QLNV</w:t>
      </w:r>
      <w:r w:rsidR="0062396D" w:rsidRPr="004B6D72">
        <w:rPr>
          <w:rFonts w:ascii="Times New Roman" w:hAnsi="Times New Roman" w:cs="Times New Roman"/>
          <w:sz w:val="24"/>
          <w:szCs w:val="24"/>
        </w:rPr>
        <w:t xml:space="preserve"> hiển thị như sau:</w:t>
      </w:r>
    </w:p>
    <w:p w:rsidR="0062396D" w:rsidRPr="004B6D72" w:rsidRDefault="0062396D" w:rsidP="00DF1E6D">
      <w:pPr>
        <w:pStyle w:val="ListParagraph"/>
        <w:numPr>
          <w:ilvl w:val="0"/>
          <w:numId w:val="6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 xml:space="preserve">Khách hàng cá nhân: trong vòng </w:t>
      </w:r>
      <w:r w:rsidRPr="004B6D72">
        <w:rPr>
          <w:rFonts w:ascii="Times New Roman" w:hAnsi="Times New Roman" w:cs="Times New Roman"/>
          <w:color w:val="FF0000"/>
          <w:sz w:val="24"/>
          <w:szCs w:val="24"/>
        </w:rPr>
        <w:t>30</w:t>
      </w:r>
      <w:r w:rsidRPr="004B6D72">
        <w:rPr>
          <w:rFonts w:ascii="Times New Roman" w:hAnsi="Times New Roman" w:cs="Times New Roman"/>
          <w:sz w:val="24"/>
          <w:szCs w:val="24"/>
        </w:rPr>
        <w:t xml:space="preserve"> ngày kể từ ngày đến hạn tái tục</w:t>
      </w:r>
    </w:p>
    <w:p w:rsidR="0062396D" w:rsidRPr="004B6D72" w:rsidRDefault="0062396D" w:rsidP="00DF1E6D">
      <w:pPr>
        <w:pStyle w:val="ListParagraph"/>
        <w:numPr>
          <w:ilvl w:val="0"/>
          <w:numId w:val="6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 xml:space="preserve">Khách hàng tổ chức: trong vòng </w:t>
      </w:r>
      <w:r w:rsidRPr="004B6D72">
        <w:rPr>
          <w:rFonts w:ascii="Times New Roman" w:hAnsi="Times New Roman" w:cs="Times New Roman"/>
          <w:color w:val="FF0000"/>
          <w:sz w:val="24"/>
          <w:szCs w:val="24"/>
        </w:rPr>
        <w:t>45</w:t>
      </w:r>
      <w:r w:rsidRPr="004B6D72">
        <w:rPr>
          <w:rFonts w:ascii="Times New Roman" w:hAnsi="Times New Roman" w:cs="Times New Roman"/>
          <w:sz w:val="24"/>
          <w:szCs w:val="24"/>
        </w:rPr>
        <w:t xml:space="preserve"> ngày kể từ ngày đến hạn tái tục</w:t>
      </w:r>
    </w:p>
    <w:p w:rsidR="00EB6F16" w:rsidRPr="004B6D72" w:rsidRDefault="00EB6F16" w:rsidP="0036671E">
      <w:pPr>
        <w:pStyle w:val="ListParagraph"/>
        <w:numPr>
          <w:ilvl w:val="0"/>
          <w:numId w:val="8"/>
        </w:numPr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Danh sách hợp đồng có tỷ lệ tổn thất cao thuộc nhóm loại trừ tái tục</w:t>
      </w:r>
    </w:p>
    <w:p w:rsidR="00EB6F16" w:rsidRPr="004B6D72" w:rsidRDefault="00EB6F16" w:rsidP="00EB6F16">
      <w:pPr>
        <w:pStyle w:val="ListParagraph"/>
        <w:numPr>
          <w:ilvl w:val="0"/>
          <w:numId w:val="8"/>
        </w:numPr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 xml:space="preserve">Danh sách hợp đồng quá hạn tái tục (trễ hạn trong vòng </w:t>
      </w:r>
      <w:r w:rsidRPr="004B6D72">
        <w:rPr>
          <w:rFonts w:ascii="Times New Roman" w:hAnsi="Times New Roman" w:cs="Times New Roman"/>
          <w:color w:val="FF0000"/>
          <w:sz w:val="24"/>
          <w:szCs w:val="24"/>
        </w:rPr>
        <w:t>12</w:t>
      </w:r>
      <w:r w:rsidRPr="004B6D72">
        <w:rPr>
          <w:rFonts w:ascii="Times New Roman" w:hAnsi="Times New Roman" w:cs="Times New Roman"/>
          <w:sz w:val="24"/>
          <w:szCs w:val="24"/>
        </w:rPr>
        <w:t xml:space="preserve"> tháng, quá 12 tháng thực hiện cấp mới)</w:t>
      </w:r>
    </w:p>
    <w:p w:rsidR="00EB5005" w:rsidRPr="004B6D72" w:rsidRDefault="00EB5005" w:rsidP="00DF1E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6D72">
        <w:rPr>
          <w:rFonts w:ascii="Times New Roman" w:hAnsi="Times New Roman" w:cs="Times New Roman"/>
          <w:b/>
          <w:sz w:val="24"/>
          <w:szCs w:val="24"/>
        </w:rPr>
        <w:t>Bước 2:</w:t>
      </w:r>
      <w:r w:rsidR="007C60E2" w:rsidRPr="004B6D72">
        <w:rPr>
          <w:rFonts w:ascii="Times New Roman" w:hAnsi="Times New Roman" w:cs="Times New Roman"/>
          <w:b/>
          <w:sz w:val="24"/>
          <w:szCs w:val="24"/>
        </w:rPr>
        <w:t xml:space="preserve"> Bản chào phí tái tục</w:t>
      </w:r>
    </w:p>
    <w:p w:rsidR="00112DBC" w:rsidRPr="004B6D72" w:rsidRDefault="0036671E" w:rsidP="00112D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Đơn vị thự</w:t>
      </w:r>
      <w:r w:rsidR="00F50F6B" w:rsidRPr="004B6D72">
        <w:rPr>
          <w:rFonts w:ascii="Times New Roman" w:hAnsi="Times New Roman" w:cs="Times New Roman"/>
          <w:sz w:val="24"/>
          <w:szCs w:val="24"/>
        </w:rPr>
        <w:t>c hiện bản chào phí sau khi nhận được thông báo tái tục từ hệ thống/khách hàng</w:t>
      </w:r>
      <w:r w:rsidR="00112DBC" w:rsidRPr="004B6D72">
        <w:rPr>
          <w:rFonts w:ascii="Times New Roman" w:hAnsi="Times New Roman" w:cs="Times New Roman"/>
          <w:sz w:val="24"/>
          <w:szCs w:val="24"/>
        </w:rPr>
        <w:t xml:space="preserve"> theo chính sách tăng/giảm phí tái tục như sau:</w:t>
      </w:r>
    </w:p>
    <w:p w:rsidR="00996991" w:rsidRPr="004B6D72" w:rsidRDefault="00112DBC" w:rsidP="00112DBC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Đối với nhóm xe thương mại</w:t>
      </w:r>
    </w:p>
    <w:tbl>
      <w:tblPr>
        <w:tblStyle w:val="TableGrid"/>
        <w:tblW w:w="0" w:type="auto"/>
        <w:tblInd w:w="1620" w:type="dxa"/>
        <w:tblLook w:val="04A0" w:firstRow="1" w:lastRow="0" w:firstColumn="1" w:lastColumn="0" w:noHBand="0" w:noVBand="1"/>
      </w:tblPr>
      <w:tblGrid>
        <w:gridCol w:w="3478"/>
        <w:gridCol w:w="3261"/>
      </w:tblGrid>
      <w:tr w:rsidR="00112DBC" w:rsidRPr="004B6D72" w:rsidTr="00CA6B1F">
        <w:tc>
          <w:tcPr>
            <w:tcW w:w="3478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Tỷ lệ tổn thất (TLTT)</w:t>
            </w:r>
          </w:p>
        </w:tc>
        <w:tc>
          <w:tcPr>
            <w:tcW w:w="3261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Tỷ lệ phí áp dụng</w:t>
            </w:r>
          </w:p>
        </w:tc>
      </w:tr>
      <w:tr w:rsidR="00112DBC" w:rsidRPr="004B6D72" w:rsidTr="00CA6B1F">
        <w:tc>
          <w:tcPr>
            <w:tcW w:w="3478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TLTT = 0%</w:t>
            </w:r>
          </w:p>
        </w:tc>
        <w:tc>
          <w:tcPr>
            <w:tcW w:w="3261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Xét theo phí năm trước</w:t>
            </w:r>
          </w:p>
        </w:tc>
      </w:tr>
      <w:tr w:rsidR="00112DBC" w:rsidRPr="004B6D72" w:rsidTr="00CA6B1F">
        <w:tc>
          <w:tcPr>
            <w:tcW w:w="3478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0% &lt; TLTT ≤ 70%</w:t>
            </w:r>
          </w:p>
        </w:tc>
        <w:tc>
          <w:tcPr>
            <w:tcW w:w="3261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Giảm 10%</w:t>
            </w:r>
          </w:p>
        </w:tc>
      </w:tr>
      <w:tr w:rsidR="00112DBC" w:rsidRPr="004B6D72" w:rsidTr="00CA6B1F">
        <w:tc>
          <w:tcPr>
            <w:tcW w:w="3478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70% &lt; TLTT  ≤ 100%</w:t>
            </w:r>
          </w:p>
        </w:tc>
        <w:tc>
          <w:tcPr>
            <w:tcW w:w="3261" w:type="dxa"/>
            <w:vAlign w:val="center"/>
          </w:tcPr>
          <w:p w:rsidR="00112DBC" w:rsidRPr="004B6D72" w:rsidRDefault="00112DBC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Không tăng phí</w:t>
            </w:r>
          </w:p>
        </w:tc>
      </w:tr>
      <w:tr w:rsidR="00112DBC" w:rsidRPr="004B6D72" w:rsidTr="00CA6B1F">
        <w:tc>
          <w:tcPr>
            <w:tcW w:w="3478" w:type="dxa"/>
            <w:vAlign w:val="center"/>
          </w:tcPr>
          <w:p w:rsidR="00112DBC" w:rsidRPr="004B6D72" w:rsidRDefault="00BC60B2" w:rsidP="00BC60B2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100% &lt; TLTT  ≤ 150%</w:t>
            </w:r>
          </w:p>
        </w:tc>
        <w:tc>
          <w:tcPr>
            <w:tcW w:w="3261" w:type="dxa"/>
            <w:vAlign w:val="center"/>
          </w:tcPr>
          <w:p w:rsidR="00112DBC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Tăng tối thiểu 10%</w:t>
            </w:r>
          </w:p>
        </w:tc>
      </w:tr>
      <w:tr w:rsidR="00BC60B2" w:rsidRPr="004B6D72" w:rsidTr="00CA6B1F">
        <w:tc>
          <w:tcPr>
            <w:tcW w:w="3478" w:type="dxa"/>
            <w:vAlign w:val="center"/>
          </w:tcPr>
          <w:p w:rsidR="00BC60B2" w:rsidRPr="004B6D72" w:rsidRDefault="00766C72" w:rsidP="00BC60B2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TLTT  &gt; 150%</w:t>
            </w:r>
          </w:p>
        </w:tc>
        <w:tc>
          <w:tcPr>
            <w:tcW w:w="3261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Trình Ban XCG/Ban TGĐ</w:t>
            </w:r>
          </w:p>
        </w:tc>
      </w:tr>
    </w:tbl>
    <w:p w:rsidR="00112DBC" w:rsidRPr="004B6D72" w:rsidRDefault="00112DBC" w:rsidP="00112DBC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Đối với nhóm xe còn lại</w:t>
      </w:r>
    </w:p>
    <w:p w:rsidR="00BC60B2" w:rsidRPr="004B6D72" w:rsidRDefault="00BC60B2" w:rsidP="00BC60B2">
      <w:pPr>
        <w:pStyle w:val="ListParagraph"/>
        <w:numPr>
          <w:ilvl w:val="0"/>
          <w:numId w:val="6"/>
        </w:numPr>
        <w:suppressAutoHyphens/>
        <w:spacing w:before="60" w:after="60" w:line="276" w:lineRule="auto"/>
        <w:ind w:left="113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6D72">
        <w:rPr>
          <w:rFonts w:ascii="Times New Roman" w:hAnsi="Times New Roman" w:cs="Times New Roman"/>
          <w:bCs/>
          <w:sz w:val="24"/>
          <w:szCs w:val="24"/>
        </w:rPr>
        <w:t>Giảm phí đối với khách hàng tham gia tái tục có tỷ lệ tổn thất như sau:</w:t>
      </w:r>
    </w:p>
    <w:tbl>
      <w:tblPr>
        <w:tblStyle w:val="TableGrid"/>
        <w:tblW w:w="0" w:type="auto"/>
        <w:tblInd w:w="1620" w:type="dxa"/>
        <w:tblLook w:val="04A0" w:firstRow="1" w:lastRow="0" w:firstColumn="1" w:lastColumn="0" w:noHBand="0" w:noVBand="1"/>
      </w:tblPr>
      <w:tblGrid>
        <w:gridCol w:w="3478"/>
        <w:gridCol w:w="3261"/>
      </w:tblGrid>
      <w:tr w:rsidR="00BC60B2" w:rsidRPr="004B6D72" w:rsidTr="00CA6B1F">
        <w:tc>
          <w:tcPr>
            <w:tcW w:w="3478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Tỷ lệ tổn thất (TLTT)</w:t>
            </w:r>
          </w:p>
        </w:tc>
        <w:tc>
          <w:tcPr>
            <w:tcW w:w="3261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Tỷ lệ phí áp dụng</w:t>
            </w:r>
          </w:p>
        </w:tc>
      </w:tr>
      <w:tr w:rsidR="00BC60B2" w:rsidRPr="004B6D72" w:rsidTr="00CA6B1F">
        <w:tc>
          <w:tcPr>
            <w:tcW w:w="3478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TLTT ≤ 50%</w:t>
            </w:r>
          </w:p>
        </w:tc>
        <w:tc>
          <w:tcPr>
            <w:tcW w:w="3261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Theo phân cấp</w:t>
            </w:r>
          </w:p>
        </w:tc>
      </w:tr>
      <w:tr w:rsidR="00BC60B2" w:rsidRPr="004B6D72" w:rsidTr="00CA6B1F">
        <w:tc>
          <w:tcPr>
            <w:tcW w:w="3478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50% &lt; TLTT  ≤ 60%</w:t>
            </w:r>
          </w:p>
        </w:tc>
        <w:tc>
          <w:tcPr>
            <w:tcW w:w="3261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Không tăng phí</w:t>
            </w:r>
          </w:p>
        </w:tc>
      </w:tr>
    </w:tbl>
    <w:p w:rsidR="00BC60B2" w:rsidRPr="004B6D72" w:rsidRDefault="00BC60B2" w:rsidP="00BC60B2">
      <w:pPr>
        <w:pStyle w:val="ListParagraph"/>
        <w:numPr>
          <w:ilvl w:val="0"/>
          <w:numId w:val="6"/>
        </w:numPr>
        <w:suppressAutoHyphens/>
        <w:spacing w:before="60" w:after="60" w:line="276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Tăng phí đối với khách hàng tham gia tái tục có lịch sử tổn thất:</w:t>
      </w:r>
    </w:p>
    <w:tbl>
      <w:tblPr>
        <w:tblStyle w:val="TableGrid"/>
        <w:tblW w:w="0" w:type="auto"/>
        <w:tblInd w:w="1620" w:type="dxa"/>
        <w:tblLook w:val="04A0" w:firstRow="1" w:lastRow="0" w:firstColumn="1" w:lastColumn="0" w:noHBand="0" w:noVBand="1"/>
      </w:tblPr>
      <w:tblGrid>
        <w:gridCol w:w="3478"/>
        <w:gridCol w:w="3261"/>
      </w:tblGrid>
      <w:tr w:rsidR="00BC60B2" w:rsidRPr="004B6D72" w:rsidTr="00CA6B1F">
        <w:tc>
          <w:tcPr>
            <w:tcW w:w="3478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Tỷ lệ tổn thất</w:t>
            </w:r>
          </w:p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(</w:t>
            </w:r>
            <w:r w:rsidRPr="004B6D72">
              <w:rPr>
                <w:rFonts w:ascii="Times New Roman" w:hAnsi="Times New Roman" w:cs="Times New Roman"/>
                <w:bCs/>
                <w:i/>
                <w:snapToGrid w:val="0"/>
                <w:sz w:val="24"/>
                <w:szCs w:val="24"/>
              </w:rPr>
              <w:t>từ 02 vụ trở lên</w:t>
            </w: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)</w:t>
            </w:r>
          </w:p>
        </w:tc>
        <w:tc>
          <w:tcPr>
            <w:tcW w:w="3261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Mức tăng tối thiểu</w:t>
            </w:r>
          </w:p>
        </w:tc>
      </w:tr>
      <w:tr w:rsidR="00BC60B2" w:rsidRPr="004B6D72" w:rsidTr="00CA6B1F">
        <w:tc>
          <w:tcPr>
            <w:tcW w:w="3478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60% &lt; TLTT ≤ 100%</w:t>
            </w:r>
          </w:p>
        </w:tc>
        <w:tc>
          <w:tcPr>
            <w:tcW w:w="3261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10%</w:t>
            </w:r>
          </w:p>
        </w:tc>
      </w:tr>
      <w:tr w:rsidR="00BC60B2" w:rsidRPr="004B6D72" w:rsidTr="00CA6B1F">
        <w:tc>
          <w:tcPr>
            <w:tcW w:w="3478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Tỷ lệ tổn thất &gt; 100%</w:t>
            </w:r>
          </w:p>
        </w:tc>
        <w:tc>
          <w:tcPr>
            <w:tcW w:w="3261" w:type="dxa"/>
            <w:vAlign w:val="center"/>
          </w:tcPr>
          <w:p w:rsidR="00BC60B2" w:rsidRPr="004B6D72" w:rsidRDefault="00BC60B2" w:rsidP="00CA6B1F">
            <w:pPr>
              <w:pStyle w:val="ListParagraph"/>
              <w:spacing w:before="60" w:after="6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4B6D72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Trình Ban XCG/Ban TGĐ</w:t>
            </w:r>
          </w:p>
        </w:tc>
      </w:tr>
    </w:tbl>
    <w:p w:rsidR="00FB0DEF" w:rsidRPr="004B6D72" w:rsidRDefault="00FB0DEF" w:rsidP="00FB0DEF">
      <w:pPr>
        <w:spacing w:after="0" w:line="360" w:lineRule="auto"/>
        <w:ind w:left="709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B0DEF" w:rsidRPr="004B6D72" w:rsidRDefault="00FB0DEF" w:rsidP="00FB0DEF">
      <w:pPr>
        <w:spacing w:after="0" w:line="360" w:lineRule="auto"/>
        <w:ind w:left="709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B0DEF" w:rsidRPr="004B6D72" w:rsidRDefault="00FB0DEF" w:rsidP="00FB0DEF">
      <w:pPr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Ghi chú:</w:t>
      </w:r>
      <w:r w:rsidRPr="004B6D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DEF" w:rsidRPr="004B6D72" w:rsidRDefault="00FB0DEF" w:rsidP="00FB0DEF">
      <w:pPr>
        <w:pStyle w:val="ListParagraph"/>
        <w:numPr>
          <w:ilvl w:val="0"/>
          <w:numId w:val="14"/>
        </w:numPr>
        <w:spacing w:after="0" w:line="360" w:lineRule="auto"/>
        <w:ind w:left="1134"/>
        <w:rPr>
          <w:rFonts w:ascii="Times New Roman" w:hAnsi="Times New Roman" w:cs="Times New Roman"/>
          <w:i/>
          <w:sz w:val="24"/>
          <w:szCs w:val="24"/>
        </w:rPr>
      </w:pPr>
      <w:r w:rsidRPr="004B6D72">
        <w:rPr>
          <w:rFonts w:ascii="Times New Roman" w:hAnsi="Times New Roman" w:cs="Times New Roman"/>
          <w:i/>
          <w:sz w:val="24"/>
          <w:szCs w:val="24"/>
        </w:rPr>
        <w:t>Phân cấp theo nhóm</w:t>
      </w:r>
    </w:p>
    <w:p w:rsidR="00D110E9" w:rsidRDefault="00D110E9" w:rsidP="00FB0DEF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Nhóm S.Xanh: giảm tối đa 37% so với chuẩn</w:t>
      </w:r>
      <w:bookmarkStart w:id="0" w:name="_GoBack"/>
      <w:bookmarkEnd w:id="0"/>
    </w:p>
    <w:p w:rsidR="00FB0DEF" w:rsidRPr="004B6D72" w:rsidRDefault="00FB0DEF" w:rsidP="00FB0DEF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Nhóm Xanh: giảm tối đa 35% so với phí chuẩn</w:t>
      </w:r>
    </w:p>
    <w:p w:rsidR="00FB0DEF" w:rsidRPr="004B6D72" w:rsidRDefault="00FB0DEF" w:rsidP="00FB0DEF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Nhóm vàng: giảm tối đa 30% so với phí chuẩn</w:t>
      </w:r>
    </w:p>
    <w:p w:rsidR="00352764" w:rsidRPr="004B6D72" w:rsidRDefault="00FB0DEF" w:rsidP="00FB0DEF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Nhóm đỏ: giảm tối đa 20% so với phí chuẩn</w:t>
      </w:r>
    </w:p>
    <w:p w:rsidR="00FB0DEF" w:rsidRPr="004B6D72" w:rsidRDefault="00FB0DEF" w:rsidP="00FB0DEF">
      <w:pPr>
        <w:pStyle w:val="ListParagraph"/>
        <w:numPr>
          <w:ilvl w:val="0"/>
          <w:numId w:val="14"/>
        </w:numPr>
        <w:spacing w:after="0" w:line="360" w:lineRule="auto"/>
        <w:ind w:left="1134"/>
        <w:rPr>
          <w:rFonts w:ascii="Times New Roman" w:hAnsi="Times New Roman" w:cs="Times New Roman"/>
          <w:i/>
          <w:sz w:val="24"/>
          <w:szCs w:val="24"/>
        </w:rPr>
      </w:pPr>
      <w:r w:rsidRPr="004B6D72">
        <w:rPr>
          <w:rFonts w:ascii="Times New Roman" w:hAnsi="Times New Roman" w:cs="Times New Roman"/>
          <w:i/>
          <w:sz w:val="24"/>
          <w:szCs w:val="24"/>
        </w:rPr>
        <w:t xml:space="preserve">Ngoài quy định áp dụng phí tái tục như trên, Ban nghiệp vụ có thể </w:t>
      </w:r>
      <w:r w:rsidR="006A69F1" w:rsidRPr="004B6D72">
        <w:rPr>
          <w:rFonts w:ascii="Times New Roman" w:hAnsi="Times New Roman" w:cs="Times New Roman"/>
          <w:i/>
          <w:sz w:val="24"/>
          <w:szCs w:val="24"/>
        </w:rPr>
        <w:t>xem xét</w:t>
      </w:r>
      <w:r w:rsidRPr="004B6D72">
        <w:rPr>
          <w:rFonts w:ascii="Times New Roman" w:hAnsi="Times New Roman" w:cs="Times New Roman"/>
          <w:i/>
          <w:sz w:val="24"/>
          <w:szCs w:val="24"/>
        </w:rPr>
        <w:t xml:space="preserve"> mức tăng/giảm vượt phân cấp Đơn vị.</w:t>
      </w:r>
    </w:p>
    <w:p w:rsidR="00EB5005" w:rsidRPr="004B6D72" w:rsidRDefault="00EB5005" w:rsidP="00DF1E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6D72">
        <w:rPr>
          <w:rFonts w:ascii="Times New Roman" w:hAnsi="Times New Roman" w:cs="Times New Roman"/>
          <w:b/>
          <w:sz w:val="24"/>
          <w:szCs w:val="24"/>
        </w:rPr>
        <w:t>Bước 3:</w:t>
      </w:r>
      <w:r w:rsidR="007C60E2" w:rsidRPr="004B6D72">
        <w:rPr>
          <w:rFonts w:ascii="Times New Roman" w:hAnsi="Times New Roman" w:cs="Times New Roman"/>
          <w:b/>
          <w:sz w:val="24"/>
          <w:szCs w:val="24"/>
        </w:rPr>
        <w:t xml:space="preserve"> Thực hiện cấp đơn tái tục</w:t>
      </w:r>
    </w:p>
    <w:p w:rsidR="00766C72" w:rsidRPr="004B6D72" w:rsidRDefault="00766C72" w:rsidP="006A69F1">
      <w:pPr>
        <w:pStyle w:val="ListParagraph"/>
        <w:numPr>
          <w:ilvl w:val="0"/>
          <w:numId w:val="15"/>
        </w:numPr>
        <w:spacing w:after="0" w:line="360" w:lineRule="auto"/>
        <w:ind w:left="426" w:hanging="436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Sau khi nhận được xác nhận tái tục từ khách hàng, Đơn vị thực hiện:</w:t>
      </w:r>
    </w:p>
    <w:p w:rsidR="00766C72" w:rsidRPr="004B6D72" w:rsidRDefault="00A61D3B" w:rsidP="00766C72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 xml:space="preserve">Tái tục liên tục (đúng hạn): </w:t>
      </w:r>
      <w:r w:rsidR="00766C72" w:rsidRPr="004B6D72">
        <w:rPr>
          <w:rFonts w:ascii="Times New Roman" w:hAnsi="Times New Roman" w:cs="Times New Roman"/>
          <w:sz w:val="24"/>
          <w:szCs w:val="24"/>
        </w:rPr>
        <w:t>Cấp đơn tái tục từ bản chào theo quy định tái tục</w:t>
      </w:r>
      <w:r w:rsidRPr="004B6D72">
        <w:rPr>
          <w:rFonts w:ascii="Times New Roman" w:hAnsi="Times New Roman" w:cs="Times New Roman"/>
          <w:sz w:val="24"/>
          <w:szCs w:val="24"/>
        </w:rPr>
        <w:t>.</w:t>
      </w:r>
    </w:p>
    <w:p w:rsidR="00A61D3B" w:rsidRPr="004B6D72" w:rsidRDefault="00A61D3B" w:rsidP="00766C72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Tái tục trễ hạn (quá hạn):</w:t>
      </w:r>
    </w:p>
    <w:p w:rsidR="009C1168" w:rsidRPr="004B6D72" w:rsidRDefault="009C1168" w:rsidP="009C1168">
      <w:pPr>
        <w:pStyle w:val="ListParagraph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Thực hiện đánh giá rủi ro theo quy định</w:t>
      </w:r>
    </w:p>
    <w:p w:rsidR="009C1168" w:rsidRPr="004B6D72" w:rsidRDefault="009C1168" w:rsidP="009C1168">
      <w:pPr>
        <w:pStyle w:val="ListParagraph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Cấp đơn tái tục từ bản chào theo quy định tái tục</w:t>
      </w:r>
    </w:p>
    <w:p w:rsidR="006A69F1" w:rsidRPr="004B6D72" w:rsidRDefault="006A69F1" w:rsidP="006A69F1">
      <w:pPr>
        <w:pStyle w:val="ListParagraph"/>
        <w:numPr>
          <w:ilvl w:val="0"/>
          <w:numId w:val="15"/>
        </w:numPr>
        <w:spacing w:after="0" w:line="360" w:lineRule="auto"/>
        <w:ind w:left="426" w:hanging="436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Phát hành GCNBH, HĐBH tái tục, Thông báo thu phí</w:t>
      </w:r>
    </w:p>
    <w:p w:rsidR="0002085E" w:rsidRDefault="0002085E" w:rsidP="006A69F1">
      <w:pPr>
        <w:pStyle w:val="ListParagraph"/>
        <w:numPr>
          <w:ilvl w:val="0"/>
          <w:numId w:val="15"/>
        </w:numPr>
        <w:spacing w:after="0" w:line="360" w:lineRule="auto"/>
        <w:ind w:left="426" w:hanging="436"/>
        <w:rPr>
          <w:rFonts w:ascii="Times New Roman" w:hAnsi="Times New Roman" w:cs="Times New Roman"/>
          <w:sz w:val="24"/>
          <w:szCs w:val="24"/>
        </w:rPr>
      </w:pPr>
      <w:r w:rsidRPr="004B6D72">
        <w:rPr>
          <w:rFonts w:ascii="Times New Roman" w:hAnsi="Times New Roman" w:cs="Times New Roman"/>
          <w:sz w:val="24"/>
          <w:szCs w:val="24"/>
        </w:rPr>
        <w:t>Khách hàng ký kết HĐBH, phát hành hóa đơn, theo dõi/thu phí bảo hiểm</w:t>
      </w:r>
    </w:p>
    <w:p w:rsidR="009B66D2" w:rsidRDefault="009B66D2" w:rsidP="006A69F1">
      <w:pPr>
        <w:pStyle w:val="ListParagraph"/>
        <w:numPr>
          <w:ilvl w:val="0"/>
          <w:numId w:val="15"/>
        </w:numPr>
        <w:spacing w:after="0" w:line="360" w:lineRule="auto"/>
        <w:ind w:left="426" w:hanging="4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Trường hợp chấm dứt/hủy đơn tái tục</w:t>
      </w:r>
      <w:r w:rsidR="00C86422">
        <w:rPr>
          <w:rFonts w:ascii="Times New Roman" w:hAnsi="Times New Roman" w:cs="Times New Roman"/>
          <w:sz w:val="24"/>
          <w:szCs w:val="24"/>
        </w:rPr>
        <w:t xml:space="preserve"> khi tham gia tái tục lại</w:t>
      </w:r>
      <w:r w:rsidR="0038193F">
        <w:rPr>
          <w:rFonts w:ascii="Times New Roman" w:hAnsi="Times New Roman" w:cs="Times New Roman"/>
          <w:sz w:val="24"/>
          <w:szCs w:val="24"/>
        </w:rPr>
        <w:t>:</w:t>
      </w:r>
    </w:p>
    <w:p w:rsidR="0038193F" w:rsidRDefault="00C86422" w:rsidP="0038193F">
      <w:pPr>
        <w:pStyle w:val="ListParagraph"/>
        <w:numPr>
          <w:ilvl w:val="1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Thời </w:t>
      </w:r>
      <w:r w:rsidR="0038193F">
        <w:rPr>
          <w:rFonts w:ascii="Times New Roman" w:hAnsi="Times New Roman" w:cs="Times New Roman"/>
          <w:sz w:val="24"/>
          <w:szCs w:val="24"/>
        </w:rPr>
        <w:t>hạn dưới 12 tháng xem như tái tục trễ hạn</w:t>
      </w:r>
      <w:r>
        <w:rPr>
          <w:rFonts w:ascii="Times New Roman" w:hAnsi="Times New Roman" w:cs="Times New Roman"/>
          <w:sz w:val="24"/>
          <w:szCs w:val="24"/>
        </w:rPr>
        <w:t xml:space="preserve"> và cấp tái tục lại từ hợp đồng gốc.</w:t>
      </w:r>
    </w:p>
    <w:p w:rsidR="008061D7" w:rsidRPr="00C86422" w:rsidRDefault="00C86422" w:rsidP="00EF634E">
      <w:pPr>
        <w:pStyle w:val="ListParagraph"/>
        <w:numPr>
          <w:ilvl w:val="1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6422">
        <w:rPr>
          <w:rFonts w:ascii="Times New Roman" w:hAnsi="Times New Roman" w:cs="Times New Roman"/>
          <w:sz w:val="24"/>
          <w:szCs w:val="24"/>
        </w:rPr>
        <w:t>Thời hạn quá 12 tháng: cấp mới.</w:t>
      </w:r>
    </w:p>
    <w:p w:rsidR="008061D7" w:rsidRPr="004B6D72" w:rsidRDefault="008061D7" w:rsidP="008061D7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B6D72">
        <w:rPr>
          <w:rFonts w:ascii="Times New Roman" w:hAnsi="Times New Roman" w:cs="Times New Roman"/>
          <w:b/>
          <w:i/>
          <w:sz w:val="24"/>
          <w:szCs w:val="24"/>
        </w:rPr>
        <w:t>Định nghĩa nhóm xe:</w:t>
      </w: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1620"/>
        <w:gridCol w:w="1520"/>
        <w:gridCol w:w="6783"/>
      </w:tblGrid>
      <w:tr w:rsidR="00E93E63" w:rsidRPr="004B6D72" w:rsidTr="00E93E63">
        <w:trPr>
          <w:trHeight w:val="28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Nhóm xe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Nhóm xe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xe</w:t>
            </w:r>
          </w:p>
        </w:tc>
      </w:tr>
      <w:tr w:rsidR="00E93E63" w:rsidRPr="004B6D72" w:rsidTr="00E93E63">
        <w:trPr>
          <w:trHeight w:val="300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Nhóm xe thương mại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BUYT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BUYT-1 - Xe bus đến 8 chỗ</w:t>
            </w:r>
          </w:p>
        </w:tc>
      </w:tr>
      <w:tr w:rsidR="00E93E63" w:rsidRPr="004B6D72" w:rsidTr="003B057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BUYT-2 - Xe bus trên 8  chỗ đến 11 chỗ</w:t>
            </w:r>
          </w:p>
        </w:tc>
      </w:tr>
      <w:tr w:rsidR="00E93E63" w:rsidRPr="004B6D72" w:rsidTr="003B057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BUYT-3 - Xe bus trên 11  chỗ đến 15 chỗ</w:t>
            </w:r>
          </w:p>
        </w:tc>
      </w:tr>
      <w:tr w:rsidR="00E93E63" w:rsidRPr="004B6D72" w:rsidTr="003B057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BUYT-4 - Xe bus 16 chỗ</w:t>
            </w:r>
          </w:p>
        </w:tc>
      </w:tr>
      <w:tr w:rsidR="00E93E63" w:rsidRPr="004B6D72" w:rsidTr="003B057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BUYT-5 - Xe bus trên 16  chỗ đến 24 chỗ</w:t>
            </w:r>
          </w:p>
        </w:tc>
      </w:tr>
      <w:tr w:rsidR="00E93E63" w:rsidRPr="004B6D72" w:rsidTr="003B057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BUYT-6 - Xe bus trên 24 chỗ</w:t>
            </w:r>
          </w:p>
        </w:tc>
      </w:tr>
      <w:tr w:rsidR="00CF24FE" w:rsidRPr="004B6D72" w:rsidTr="00D139DD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XECN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KKD1-3 - Xe chở người từ 09 chỗ đến 11 chỗ</w:t>
            </w:r>
          </w:p>
        </w:tc>
      </w:tr>
      <w:tr w:rsidR="00CF24FE" w:rsidRPr="004B6D72" w:rsidTr="00D139DD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KKD1-4 - Xe chở người từ 12 chỗ đến 15 chỗ</w:t>
            </w:r>
          </w:p>
        </w:tc>
      </w:tr>
      <w:tr w:rsidR="00CF24FE" w:rsidRPr="004B6D72" w:rsidTr="00ED7C74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KKD1-5 - Xe chở người 16 chỗ</w:t>
            </w:r>
          </w:p>
        </w:tc>
      </w:tr>
      <w:tr w:rsidR="00CF24FE" w:rsidRPr="004B6D72" w:rsidTr="00ED7C74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KKD3-1 - Xe chở người từ 17 chỗ đến 24 chỗ</w:t>
            </w:r>
          </w:p>
        </w:tc>
      </w:tr>
      <w:tr w:rsidR="00CF24FE" w:rsidRPr="004B6D72" w:rsidTr="00ED7C74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KKD3-2 - Xe chở người trên 24 chỗ đến 41 chỗ</w:t>
            </w:r>
          </w:p>
        </w:tc>
      </w:tr>
      <w:tr w:rsidR="00CF24FE" w:rsidRPr="004B6D72" w:rsidTr="00ED7C74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KKD3-3 - Xe chở người từ 42 chỗ trở lên</w:t>
            </w:r>
          </w:p>
        </w:tc>
      </w:tr>
      <w:tr w:rsidR="00E93E63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E63" w:rsidRPr="004B6D72" w:rsidRDefault="00CD0102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KKD4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E63" w:rsidRPr="004B6D72" w:rsidRDefault="00E93E63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KKD4 - Xe hoạt động trong nội cảng, khu công nghiệp, sân bay</w:t>
            </w:r>
          </w:p>
        </w:tc>
      </w:tr>
      <w:tr w:rsidR="00CF24FE" w:rsidRPr="004B6D72" w:rsidTr="00CF24FE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F24FE" w:rsidRPr="004B6D72" w:rsidRDefault="00CF24FE" w:rsidP="004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TAI1-1.2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Xe chở hàng trên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tấn đến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tấn</w:t>
            </w:r>
          </w:p>
        </w:tc>
      </w:tr>
      <w:tr w:rsidR="00CF24FE" w:rsidRPr="004B6D72" w:rsidTr="00953F35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TAI1-1.3 - Xe chở hàng trên 8 tấn đến 10 tấn</w:t>
            </w:r>
          </w:p>
        </w:tc>
      </w:tr>
      <w:tr w:rsidR="00CF24FE" w:rsidRPr="004B6D72" w:rsidTr="00953F35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TAI1-1.4 - Xe chở hàng trên 10 tấn đến 15 tấn</w:t>
            </w:r>
          </w:p>
        </w:tc>
      </w:tr>
      <w:tr w:rsidR="00CF24FE" w:rsidRPr="004B6D72" w:rsidTr="00953F35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TAI1-1.5 - Xe chở hàng trên 15 tấn</w:t>
            </w:r>
          </w:p>
        </w:tc>
      </w:tr>
      <w:tr w:rsidR="008805A3" w:rsidRPr="004B6D72" w:rsidTr="00953F35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05A3" w:rsidRPr="004B6D72" w:rsidRDefault="008805A3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8805A3" w:rsidRPr="004B6D72" w:rsidRDefault="008805A3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5A3" w:rsidRPr="004B6D72" w:rsidRDefault="008805A3" w:rsidP="00880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Xe chở hàng trên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tấn đến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tấn</w:t>
            </w:r>
          </w:p>
        </w:tc>
      </w:tr>
      <w:tr w:rsidR="00CF24FE" w:rsidRPr="004B6D72" w:rsidTr="00953F35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TAI1-2.3 - Xe chở hàng trên 8 tấn đến 10 tấn</w:t>
            </w:r>
          </w:p>
        </w:tc>
      </w:tr>
      <w:tr w:rsidR="00CF24FE" w:rsidRPr="004B6D72" w:rsidTr="00953F35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TAI1-3.1 - Xe chở hàng trên 10 tấn đến 15 tấn</w:t>
            </w:r>
          </w:p>
        </w:tc>
      </w:tr>
      <w:tr w:rsidR="00CF24FE" w:rsidRPr="004B6D72" w:rsidTr="00953F35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TAI1-3.2 - Xe chở hàng trên 15 tấn</w:t>
            </w:r>
          </w:p>
        </w:tc>
      </w:tr>
      <w:tr w:rsidR="00CD0102" w:rsidRPr="004B6D72" w:rsidTr="00CD0102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TAI2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0102" w:rsidRPr="004B6D72" w:rsidRDefault="00CD0102" w:rsidP="00CD0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Xe đông lạnh (trên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đến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tấn)</w:t>
            </w:r>
          </w:p>
        </w:tc>
      </w:tr>
      <w:tr w:rsidR="00CD0102" w:rsidRPr="004B6D72" w:rsidTr="002366B4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TAI2.3 - Xe đông lạnh (trên 8 đến 10 tấn)</w:t>
            </w:r>
          </w:p>
        </w:tc>
      </w:tr>
      <w:tr w:rsidR="00CD0102" w:rsidRPr="004B6D72" w:rsidTr="002366B4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TAI2.4 - Xe đông lạnh (trên 10 đến 15 tấn)</w:t>
            </w:r>
          </w:p>
        </w:tc>
      </w:tr>
      <w:tr w:rsidR="00CD0102" w:rsidRPr="004B6D72" w:rsidTr="002366B4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TAI2.5 - Xe đông lạnh (trên 15 tấn)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TAI3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TAI3 - Xe hoạt động trong vùng khai thác khoáng sản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TAI4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TAI4 - Xe chở hàng hoạt động nội bộ trong khu công nghiệp, cảng, sân bay</w:t>
            </w:r>
          </w:p>
        </w:tc>
      </w:tr>
      <w:tr w:rsidR="00CD0102" w:rsidRPr="004B6D72" w:rsidTr="00CD0102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XCD1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0102" w:rsidRPr="004B6D72" w:rsidRDefault="00CD0102" w:rsidP="00CD0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Xe chuyên dùng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dưới 3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tấn)</w:t>
            </w:r>
          </w:p>
        </w:tc>
      </w:tr>
      <w:tr w:rsidR="00CD0102" w:rsidRPr="004B6D72" w:rsidTr="00D3737D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0102" w:rsidRPr="004B6D72" w:rsidRDefault="00CD0102" w:rsidP="00CD0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XCD1.2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Xe chuyên dùng (trên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đến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tấn)</w:t>
            </w:r>
          </w:p>
        </w:tc>
      </w:tr>
      <w:tr w:rsidR="00CD0102" w:rsidRPr="004B6D72" w:rsidTr="00D3737D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XCD1.3 - Xe chuyên dùng (trên 8  đến 10 tấn)</w:t>
            </w:r>
          </w:p>
        </w:tc>
      </w:tr>
      <w:tr w:rsidR="00CD0102" w:rsidRPr="004B6D72" w:rsidTr="00D3737D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XCD1.4 - Xe chuyên dùng (trên 10  đến 15 tấn)</w:t>
            </w:r>
          </w:p>
        </w:tc>
      </w:tr>
      <w:tr w:rsidR="00CD0102" w:rsidRPr="004B6D72" w:rsidTr="00D3737D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102" w:rsidRPr="004B6D72" w:rsidRDefault="00CD0102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XCD1.5 - Xe chuyên dùng (trên 15 tấn)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XCD2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XCD2 - Xe đầu kéo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XCD3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XCD3 - Rơmooc, semi-rơmooc chassi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XCD3-1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XCD3-1 - Rơmooc, semi-rơmooc chassi gắn ben tự đổ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XCD3-2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XCD3-2 - Rơmooc, semi-rơmooc chassi gắn thiết bị chuyên dùng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XCC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XCC - Xe cấp cứu 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XCT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XCT - Xe chở tiền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 - XE KINH DOANH VẬN TẢI LIÊN TÍNH</w:t>
            </w:r>
          </w:p>
        </w:tc>
      </w:tr>
      <w:tr w:rsidR="001C3E38" w:rsidRPr="004B6D72" w:rsidTr="001C3E38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XECN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XEKD1-1 - Xe chở người từ 09 chỗ đến 11 chỗ</w:t>
            </w:r>
          </w:p>
        </w:tc>
      </w:tr>
      <w:tr w:rsidR="001C3E38" w:rsidRPr="004B6D72" w:rsidTr="002E4AB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XEKD1-2 - Xe chở người từ 12 chỗ đến 15 chỗ</w:t>
            </w:r>
          </w:p>
        </w:tc>
      </w:tr>
      <w:tr w:rsidR="001C3E38" w:rsidRPr="004B6D72" w:rsidTr="002E4AB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XEKD1-3 - Xe chở người 16 chỗ</w:t>
            </w:r>
          </w:p>
        </w:tc>
      </w:tr>
      <w:tr w:rsidR="001C3E38" w:rsidRPr="004B6D72" w:rsidTr="002E4AB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XEKD1-4 - Xe chở người từ 17 chỗ đến 24 chỗ</w:t>
            </w:r>
          </w:p>
        </w:tc>
      </w:tr>
      <w:tr w:rsidR="001C3E38" w:rsidRPr="004B6D72" w:rsidTr="002E4AB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XEKD1-5 - Xe chở người trên 24 chỗ đến 41 chỗ</w:t>
            </w:r>
          </w:p>
        </w:tc>
      </w:tr>
      <w:tr w:rsidR="001C3E38" w:rsidRPr="004B6D72" w:rsidTr="002E4AB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XEKD1-6 - Xe chở người từ 42 chỗ trở lên</w:t>
            </w:r>
          </w:p>
        </w:tc>
      </w:tr>
      <w:tr w:rsidR="001C3E38" w:rsidRPr="004B6D72" w:rsidTr="001C3E38">
        <w:trPr>
          <w:trHeight w:val="300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Nhóm xe chở người dưới 9 chỗ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XECN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KKD1-1 - Xe chở người đến 05 chỗ</w:t>
            </w:r>
          </w:p>
        </w:tc>
      </w:tr>
      <w:tr w:rsidR="001C3E38" w:rsidRPr="004B6D72" w:rsidTr="0088361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KKD1-2 - Xe chở người từ 06 chỗ đến 08 chỗ</w:t>
            </w:r>
          </w:p>
        </w:tc>
      </w:tr>
      <w:tr w:rsidR="001C3E38" w:rsidRPr="004B6D72" w:rsidTr="0088361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XEKD2-1 - Xe chở người đến 05 chỗ</w:t>
            </w:r>
          </w:p>
        </w:tc>
      </w:tr>
      <w:tr w:rsidR="001C3E38" w:rsidRPr="004B6D72" w:rsidTr="0088361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XEKD2-2 - Xe chở người từ 06 chỗ đến 08 chỗ</w:t>
            </w:r>
          </w:p>
        </w:tc>
      </w:tr>
      <w:tr w:rsidR="001C3E38" w:rsidRPr="004B6D72" w:rsidTr="001C3E38">
        <w:trPr>
          <w:trHeight w:val="300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Taxi truyền thống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TAXI-1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TAXI-1 - Xe taxi truyền thống đến 5 chỗ</w:t>
            </w:r>
          </w:p>
        </w:tc>
      </w:tr>
      <w:tr w:rsidR="001C3E38" w:rsidRPr="004B6D72" w:rsidTr="00D94892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TAXI-1.1 - Xe taxi truyền thống từ 6 đến 8 chỗ</w:t>
            </w:r>
          </w:p>
        </w:tc>
      </w:tr>
      <w:tr w:rsidR="001C3E38" w:rsidRPr="004B6D72" w:rsidTr="001C3E38">
        <w:trPr>
          <w:trHeight w:val="300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Taxi công nghệ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TAXI-2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TAXI-2 - Xe taxi công nghệ đến 5 chỗ</w:t>
            </w:r>
          </w:p>
        </w:tc>
      </w:tr>
      <w:tr w:rsidR="001C3E38" w:rsidRPr="004B6D72" w:rsidTr="004D468C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8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TAXI-2.2 - Xe taxi công nghệ từ 6 chỗ đến 8 chỗ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Nhóm xe còn lại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KKD2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KKD2 - Xe bán tải cabin đơn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1C3E38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KKD2-1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KKD2-1 - Xe tải van</w:t>
            </w:r>
          </w:p>
        </w:tc>
      </w:tr>
      <w:tr w:rsidR="00F8324C" w:rsidRPr="004B6D72" w:rsidTr="00F8324C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TAI1-1.1 - Xe chở hàng dưới 3 tấn</w:t>
            </w:r>
          </w:p>
        </w:tc>
      </w:tr>
      <w:tr w:rsidR="00F8324C" w:rsidRPr="004B6D72" w:rsidTr="005E05AA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TAI1-2.1 - Xe chở hàng dưới 3 tấn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TAI2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TAI2.1 - Xe đông lạnh (dưới 3 tấn)</w:t>
            </w:r>
          </w:p>
        </w:tc>
      </w:tr>
      <w:tr w:rsidR="00F8324C" w:rsidRPr="004B6D72" w:rsidTr="00F8324C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XTL1-1 - Xe chở người đến 05 chỗ</w:t>
            </w:r>
          </w:p>
        </w:tc>
      </w:tr>
      <w:tr w:rsidR="00F8324C" w:rsidRPr="004B6D72" w:rsidTr="0095767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XTL1-2 - Xe chở người từ 06 chỗ đến 08 chỗ</w:t>
            </w:r>
          </w:p>
        </w:tc>
      </w:tr>
      <w:tr w:rsidR="00F8324C" w:rsidRPr="004B6D72" w:rsidTr="0095767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XTL1-3 - Xe chở người từ 09 chỗ đến 11 chỗ</w:t>
            </w:r>
          </w:p>
        </w:tc>
      </w:tr>
      <w:tr w:rsidR="00F8324C" w:rsidRPr="004B6D72" w:rsidTr="0095767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XTL1-4 - Xe chở người từ 12 chỗ đến 15 chỗ</w:t>
            </w:r>
          </w:p>
        </w:tc>
      </w:tr>
      <w:tr w:rsidR="00F8324C" w:rsidRPr="004B6D72" w:rsidTr="0095767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XTL1-5 - Xe chở người 16 chỗ</w:t>
            </w:r>
          </w:p>
        </w:tc>
      </w:tr>
      <w:tr w:rsidR="00F8324C" w:rsidRPr="004B6D72" w:rsidTr="0095767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XTL1-6 - Xe chở người từ 17 đến 24 chỗ</w:t>
            </w:r>
          </w:p>
        </w:tc>
      </w:tr>
      <w:tr w:rsidR="00F8324C" w:rsidRPr="004B6D72" w:rsidTr="0095767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XTL1-7 - Xe chở người trên 24 đến 41 chỗ</w:t>
            </w:r>
          </w:p>
        </w:tc>
      </w:tr>
      <w:tr w:rsidR="00F8324C" w:rsidRPr="004B6D72" w:rsidTr="0095767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XTL1-8 - Xe chở người trên 41 chỗ</w:t>
            </w:r>
          </w:p>
        </w:tc>
      </w:tr>
      <w:tr w:rsidR="00F8324C" w:rsidRPr="004B6D72" w:rsidTr="00F8324C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XTL2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XTL2-1 - Xe chở hàng dưới 3 tấn</w:t>
            </w:r>
          </w:p>
        </w:tc>
      </w:tr>
      <w:tr w:rsidR="00F8324C" w:rsidRPr="004B6D72" w:rsidTr="00ED370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XTL2-2 - Xe chở hàng từ 3 tấn đến 8 tấn</w:t>
            </w:r>
          </w:p>
        </w:tc>
      </w:tr>
      <w:tr w:rsidR="00F8324C" w:rsidRPr="004B6D72" w:rsidTr="00ED370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XTL2-3 - Xe chở hàng trên 8 tấn đến 15 tấn</w:t>
            </w:r>
          </w:p>
        </w:tc>
      </w:tr>
      <w:tr w:rsidR="00F8324C" w:rsidRPr="004B6D72" w:rsidTr="00ED370F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XTL2-4 - Xe chở hàng trên 15 tấn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XTL3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XTL3 - Xe pick up</w:t>
            </w:r>
          </w:p>
        </w:tc>
      </w:tr>
      <w:tr w:rsidR="00CF24FE" w:rsidRPr="004B6D72" w:rsidTr="00E93E63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24FE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XTL4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4FE" w:rsidRPr="004B6D72" w:rsidRDefault="00CF24FE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XTL4 - Xe đầu kéo</w:t>
            </w:r>
          </w:p>
        </w:tc>
      </w:tr>
      <w:tr w:rsidR="00F8324C" w:rsidRPr="004B6D72" w:rsidTr="00F8324C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XTTL</w:t>
            </w: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XTTL1 - Xe chở người đến 05 chỗ</w:t>
            </w:r>
          </w:p>
        </w:tc>
      </w:tr>
      <w:tr w:rsidR="00F8324C" w:rsidRPr="004B6D72" w:rsidTr="001110C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XTTL2 - Xe chở người từ 6 đến 8 chỗ</w:t>
            </w:r>
          </w:p>
        </w:tc>
      </w:tr>
      <w:tr w:rsidR="00F8324C" w:rsidRPr="004B6D72" w:rsidTr="001110C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XTTL3 - Xe chở người từ 09 chỗ đến 16 chỗ</w:t>
            </w:r>
          </w:p>
        </w:tc>
      </w:tr>
      <w:tr w:rsidR="00F8324C" w:rsidRPr="004B6D72" w:rsidTr="001110C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XTTL4 - Xe chở người 16 chỗ</w:t>
            </w:r>
          </w:p>
        </w:tc>
      </w:tr>
      <w:tr w:rsidR="00F8324C" w:rsidRPr="004B6D72" w:rsidTr="001110C7">
        <w:trPr>
          <w:trHeight w:val="30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4C" w:rsidRPr="004B6D72" w:rsidRDefault="00F8324C" w:rsidP="00CF2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XTTL5 - Xe chở người trên 16 chỗ</w:t>
            </w:r>
          </w:p>
        </w:tc>
      </w:tr>
    </w:tbl>
    <w:p w:rsidR="008061D7" w:rsidRPr="004B6D72" w:rsidRDefault="008061D7" w:rsidP="008061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8061D7" w:rsidRPr="004B6D72" w:rsidSect="00BE100B">
      <w:pgSz w:w="12240" w:h="15840"/>
      <w:pgMar w:top="1440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C7046"/>
    <w:multiLevelType w:val="hybridMultilevel"/>
    <w:tmpl w:val="8B585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D233B"/>
    <w:multiLevelType w:val="hybridMultilevel"/>
    <w:tmpl w:val="4F04B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430E5"/>
    <w:multiLevelType w:val="hybridMultilevel"/>
    <w:tmpl w:val="C750056E"/>
    <w:lvl w:ilvl="0" w:tplc="676403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82FA7"/>
    <w:multiLevelType w:val="hybridMultilevel"/>
    <w:tmpl w:val="ABEAE488"/>
    <w:lvl w:ilvl="0" w:tplc="6D248F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0040A"/>
    <w:multiLevelType w:val="hybridMultilevel"/>
    <w:tmpl w:val="D63076AA"/>
    <w:lvl w:ilvl="0" w:tplc="9D147A14">
      <w:start w:val="1"/>
      <w:numFmt w:val="bullet"/>
      <w:lvlText w:val=""/>
      <w:lvlJc w:val="left"/>
      <w:pPr>
        <w:ind w:left="1211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554B57C2"/>
    <w:multiLevelType w:val="hybridMultilevel"/>
    <w:tmpl w:val="4F04B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D6471"/>
    <w:multiLevelType w:val="hybridMultilevel"/>
    <w:tmpl w:val="874ACA0C"/>
    <w:lvl w:ilvl="0" w:tplc="04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9AF4702"/>
    <w:multiLevelType w:val="hybridMultilevel"/>
    <w:tmpl w:val="AE1C0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E17FA"/>
    <w:multiLevelType w:val="hybridMultilevel"/>
    <w:tmpl w:val="A0D0F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26270"/>
    <w:multiLevelType w:val="hybridMultilevel"/>
    <w:tmpl w:val="5DE241BE"/>
    <w:lvl w:ilvl="0" w:tplc="4470018A">
      <w:start w:val="1"/>
      <w:numFmt w:val="bullet"/>
      <w:lvlText w:val="-"/>
      <w:lvlJc w:val="left"/>
      <w:pPr>
        <w:ind w:left="1571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676C65DF"/>
    <w:multiLevelType w:val="hybridMultilevel"/>
    <w:tmpl w:val="21CC0EA4"/>
    <w:lvl w:ilvl="0" w:tplc="ED8228A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7FE38F4"/>
    <w:multiLevelType w:val="hybridMultilevel"/>
    <w:tmpl w:val="FF86606A"/>
    <w:lvl w:ilvl="0" w:tplc="BFBAC7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D5E35"/>
    <w:multiLevelType w:val="hybridMultilevel"/>
    <w:tmpl w:val="3B6AB8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375F3"/>
    <w:multiLevelType w:val="hybridMultilevel"/>
    <w:tmpl w:val="5974501A"/>
    <w:lvl w:ilvl="0" w:tplc="39CCAB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12BA4"/>
    <w:multiLevelType w:val="hybridMultilevel"/>
    <w:tmpl w:val="F4E6BFE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9"/>
  </w:num>
  <w:num w:numId="5">
    <w:abstractNumId w:val="13"/>
  </w:num>
  <w:num w:numId="6">
    <w:abstractNumId w:val="2"/>
  </w:num>
  <w:num w:numId="7">
    <w:abstractNumId w:val="11"/>
  </w:num>
  <w:num w:numId="8">
    <w:abstractNumId w:val="1"/>
  </w:num>
  <w:num w:numId="9">
    <w:abstractNumId w:val="10"/>
  </w:num>
  <w:num w:numId="10">
    <w:abstractNumId w:val="8"/>
  </w:num>
  <w:num w:numId="11">
    <w:abstractNumId w:val="5"/>
  </w:num>
  <w:num w:numId="12">
    <w:abstractNumId w:val="12"/>
  </w:num>
  <w:num w:numId="13">
    <w:abstractNumId w:val="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B84"/>
    <w:rsid w:val="00001B84"/>
    <w:rsid w:val="00004202"/>
    <w:rsid w:val="0002085E"/>
    <w:rsid w:val="00086840"/>
    <w:rsid w:val="00112DBC"/>
    <w:rsid w:val="00156EF8"/>
    <w:rsid w:val="00160E58"/>
    <w:rsid w:val="001C3E38"/>
    <w:rsid w:val="00285F9C"/>
    <w:rsid w:val="002C6A31"/>
    <w:rsid w:val="002E051B"/>
    <w:rsid w:val="002E44D4"/>
    <w:rsid w:val="00352764"/>
    <w:rsid w:val="0036671E"/>
    <w:rsid w:val="0038193F"/>
    <w:rsid w:val="00382B80"/>
    <w:rsid w:val="003F52D8"/>
    <w:rsid w:val="003F62D7"/>
    <w:rsid w:val="00453200"/>
    <w:rsid w:val="004B6D72"/>
    <w:rsid w:val="004C07F4"/>
    <w:rsid w:val="004D1734"/>
    <w:rsid w:val="005202EC"/>
    <w:rsid w:val="00581DA3"/>
    <w:rsid w:val="0062396D"/>
    <w:rsid w:val="006563A9"/>
    <w:rsid w:val="006A69F1"/>
    <w:rsid w:val="00766C72"/>
    <w:rsid w:val="007C60E2"/>
    <w:rsid w:val="008061D7"/>
    <w:rsid w:val="008805A3"/>
    <w:rsid w:val="008B5D33"/>
    <w:rsid w:val="0094375F"/>
    <w:rsid w:val="00996991"/>
    <w:rsid w:val="00997840"/>
    <w:rsid w:val="009B66D2"/>
    <w:rsid w:val="009C1168"/>
    <w:rsid w:val="00A24734"/>
    <w:rsid w:val="00A61D3B"/>
    <w:rsid w:val="00B01CAF"/>
    <w:rsid w:val="00B95C96"/>
    <w:rsid w:val="00BC60B2"/>
    <w:rsid w:val="00BD24AA"/>
    <w:rsid w:val="00BE100B"/>
    <w:rsid w:val="00BE7B10"/>
    <w:rsid w:val="00C21AC4"/>
    <w:rsid w:val="00C458AB"/>
    <w:rsid w:val="00C86422"/>
    <w:rsid w:val="00CD0102"/>
    <w:rsid w:val="00CD787C"/>
    <w:rsid w:val="00CF24FE"/>
    <w:rsid w:val="00D110E9"/>
    <w:rsid w:val="00D42C24"/>
    <w:rsid w:val="00DF1E6D"/>
    <w:rsid w:val="00DF322E"/>
    <w:rsid w:val="00E56EF5"/>
    <w:rsid w:val="00E93E63"/>
    <w:rsid w:val="00EB5005"/>
    <w:rsid w:val="00EB6F16"/>
    <w:rsid w:val="00ED33F0"/>
    <w:rsid w:val="00EE76A0"/>
    <w:rsid w:val="00F50F6B"/>
    <w:rsid w:val="00F8324C"/>
    <w:rsid w:val="00FB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C7D9C0-BCD4-4E44-A790-8360D4AB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 2,bullet 1,bullet,List Paragraph1,List Paragraph11,Thang2,Dot 1,Paragraph,Norm,Đoạn của Danh sách,Đoạn c𞹺Danh sách,List Paragraph111,Đoạn c���?nh sách,Nga 3,List Paragraph2,List Paragraph21,List Paragraph1111,Level 2,list 123,a)"/>
    <w:basedOn w:val="Normal"/>
    <w:link w:val="ListParagraphChar"/>
    <w:uiPriority w:val="34"/>
    <w:qFormat/>
    <w:rsid w:val="00001B84"/>
    <w:pPr>
      <w:ind w:left="720"/>
      <w:contextualSpacing/>
    </w:pPr>
  </w:style>
  <w:style w:type="table" w:styleId="TableGrid">
    <w:name w:val="Table Grid"/>
    <w:basedOn w:val="TableNormal"/>
    <w:uiPriority w:val="59"/>
    <w:rsid w:val="002E051B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head 2 Char,bullet 1 Char,bullet Char,List Paragraph1 Char,List Paragraph11 Char,Thang2 Char,Dot 1 Char,Paragraph Char,Norm Char,Đoạn của Danh sách Char,Đoạn c𞹺Danh sách Char,List Paragraph111 Char,Đoạn c���?nh sách Char,Nga 3 Char"/>
    <w:basedOn w:val="DefaultParagraphFont"/>
    <w:link w:val="ListParagraph"/>
    <w:uiPriority w:val="34"/>
    <w:rsid w:val="002E0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PGD Ban BH Xe Co Gioi</dc:creator>
  <cp:keywords/>
  <dc:description/>
  <cp:lastModifiedBy>Anh, Nguyen Thi Kim - PGD Ban BH Xe Co Gioi</cp:lastModifiedBy>
  <cp:revision>7</cp:revision>
  <dcterms:created xsi:type="dcterms:W3CDTF">2025-12-11T06:25:00Z</dcterms:created>
  <dcterms:modified xsi:type="dcterms:W3CDTF">2026-05-13T03:11:00Z</dcterms:modified>
</cp:coreProperties>
</file>